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B79" w:rsidRPr="00396B79" w:rsidRDefault="00396B79" w:rsidP="00454526">
      <w:pPr>
        <w:jc w:val="center"/>
        <w:rPr>
          <w:rFonts w:ascii="Times New Roman" w:hAnsi="Times New Roman" w:cs="Times New Roman"/>
          <w:b/>
          <w:sz w:val="32"/>
          <w:u w:val="single"/>
        </w:rPr>
      </w:pPr>
      <w:bookmarkStart w:id="0" w:name="_GoBack"/>
      <w:bookmarkEnd w:id="0"/>
      <w:r w:rsidRPr="00396B79">
        <w:rPr>
          <w:rFonts w:ascii="Times New Roman" w:hAnsi="Times New Roman" w:cs="Times New Roman"/>
          <w:b/>
          <w:sz w:val="32"/>
          <w:u w:val="single"/>
        </w:rPr>
        <w:t>REPORT</w:t>
      </w:r>
    </w:p>
    <w:p w:rsidR="00454526" w:rsidRPr="00396B79" w:rsidRDefault="00454526" w:rsidP="00454526">
      <w:pPr>
        <w:jc w:val="center"/>
        <w:rPr>
          <w:rFonts w:ascii="Times New Roman" w:hAnsi="Times New Roman" w:cs="Times New Roman"/>
          <w:b/>
          <w:sz w:val="32"/>
        </w:rPr>
      </w:pPr>
      <w:r w:rsidRPr="00396B79">
        <w:rPr>
          <w:rFonts w:ascii="Times New Roman" w:hAnsi="Times New Roman" w:cs="Times New Roman"/>
          <w:b/>
          <w:sz w:val="32"/>
        </w:rPr>
        <w:t>Certificate Program on Company Law</w:t>
      </w:r>
    </w:p>
    <w:p w:rsidR="00454526" w:rsidRPr="00396B79" w:rsidRDefault="00454526" w:rsidP="00454526">
      <w:pPr>
        <w:jc w:val="center"/>
        <w:rPr>
          <w:rFonts w:ascii="Times New Roman" w:hAnsi="Times New Roman" w:cs="Times New Roman"/>
          <w:b/>
          <w:sz w:val="32"/>
        </w:rPr>
      </w:pPr>
      <w:r w:rsidRPr="00396B79">
        <w:rPr>
          <w:rFonts w:ascii="Times New Roman" w:hAnsi="Times New Roman" w:cs="Times New Roman"/>
          <w:b/>
          <w:sz w:val="32"/>
        </w:rPr>
        <w:t>20</w:t>
      </w:r>
      <w:r w:rsidR="00FB2919" w:rsidRPr="00396B79">
        <w:rPr>
          <w:rFonts w:ascii="Times New Roman" w:hAnsi="Times New Roman" w:cs="Times New Roman"/>
          <w:b/>
          <w:sz w:val="32"/>
          <w:vertAlign w:val="superscript"/>
        </w:rPr>
        <w:t>th</w:t>
      </w:r>
      <w:r w:rsidR="00FB2919" w:rsidRPr="00396B79">
        <w:rPr>
          <w:rFonts w:ascii="Times New Roman" w:hAnsi="Times New Roman" w:cs="Times New Roman"/>
          <w:b/>
          <w:sz w:val="32"/>
        </w:rPr>
        <w:t xml:space="preserve"> </w:t>
      </w:r>
      <w:r w:rsidRPr="00396B79">
        <w:rPr>
          <w:rFonts w:ascii="Times New Roman" w:hAnsi="Times New Roman" w:cs="Times New Roman"/>
          <w:b/>
          <w:sz w:val="32"/>
        </w:rPr>
        <w:t>-22</w:t>
      </w:r>
      <w:r w:rsidR="00FB2919" w:rsidRPr="00396B79">
        <w:rPr>
          <w:rFonts w:ascii="Times New Roman" w:hAnsi="Times New Roman" w:cs="Times New Roman"/>
          <w:b/>
          <w:sz w:val="32"/>
          <w:vertAlign w:val="superscript"/>
        </w:rPr>
        <w:t>nd</w:t>
      </w:r>
      <w:r w:rsidR="00FB2919" w:rsidRPr="00396B79">
        <w:rPr>
          <w:rFonts w:ascii="Times New Roman" w:hAnsi="Times New Roman" w:cs="Times New Roman"/>
          <w:b/>
          <w:sz w:val="32"/>
        </w:rPr>
        <w:t xml:space="preserve"> </w:t>
      </w:r>
      <w:r w:rsidRPr="00396B79">
        <w:rPr>
          <w:rFonts w:ascii="Times New Roman" w:hAnsi="Times New Roman" w:cs="Times New Roman"/>
          <w:b/>
          <w:sz w:val="32"/>
        </w:rPr>
        <w:t>February 2018</w:t>
      </w:r>
    </w:p>
    <w:p w:rsidR="00BD6E10" w:rsidRPr="00396B79" w:rsidRDefault="00396B79" w:rsidP="00BD6E10">
      <w:pPr>
        <w:rPr>
          <w:rFonts w:ascii="Times New Roman" w:hAnsi="Times New Roman" w:cs="Times New Roman"/>
          <w:b/>
          <w:sz w:val="32"/>
        </w:rPr>
      </w:pPr>
      <w:r w:rsidRPr="00396B79">
        <w:rPr>
          <w:rFonts w:ascii="Times New Roman" w:hAnsi="Times New Roman" w:cs="Times New Roman"/>
          <w:b/>
          <w:sz w:val="32"/>
        </w:rPr>
        <w:t>Course</w:t>
      </w:r>
      <w:r w:rsidR="00BD6E10" w:rsidRPr="00396B79">
        <w:rPr>
          <w:rFonts w:ascii="Times New Roman" w:hAnsi="Times New Roman" w:cs="Times New Roman"/>
          <w:b/>
          <w:sz w:val="32"/>
        </w:rPr>
        <w:t xml:space="preserve"> Coordinator: Ms. </w:t>
      </w:r>
      <w:proofErr w:type="spellStart"/>
      <w:r w:rsidR="00BD6E10" w:rsidRPr="00396B79">
        <w:rPr>
          <w:rFonts w:ascii="Times New Roman" w:hAnsi="Times New Roman" w:cs="Times New Roman"/>
          <w:b/>
          <w:sz w:val="32"/>
        </w:rPr>
        <w:t>Smita</w:t>
      </w:r>
      <w:proofErr w:type="spellEnd"/>
      <w:r w:rsidR="00BD6E10" w:rsidRPr="00396B79">
        <w:rPr>
          <w:rFonts w:ascii="Times New Roman" w:hAnsi="Times New Roman" w:cs="Times New Roman"/>
          <w:b/>
          <w:sz w:val="32"/>
        </w:rPr>
        <w:t xml:space="preserve"> </w:t>
      </w:r>
      <w:proofErr w:type="spellStart"/>
      <w:r w:rsidR="00BD6E10" w:rsidRPr="00396B79">
        <w:rPr>
          <w:rFonts w:ascii="Times New Roman" w:hAnsi="Times New Roman" w:cs="Times New Roman"/>
          <w:b/>
          <w:sz w:val="32"/>
        </w:rPr>
        <w:t>Sabne</w:t>
      </w:r>
      <w:proofErr w:type="spellEnd"/>
    </w:p>
    <w:p w:rsidR="00FB40DD" w:rsidRPr="00761D24" w:rsidRDefault="00FB40DD">
      <w:pPr>
        <w:rPr>
          <w:rFonts w:ascii="Times New Roman" w:hAnsi="Times New Roman" w:cs="Times New Roman"/>
          <w:sz w:val="24"/>
        </w:rPr>
      </w:pPr>
      <w:r w:rsidRPr="00761D24">
        <w:rPr>
          <w:rFonts w:ascii="Times New Roman" w:hAnsi="Times New Roman" w:cs="Times New Roman"/>
          <w:sz w:val="24"/>
        </w:rPr>
        <w:t xml:space="preserve">A </w:t>
      </w:r>
      <w:r w:rsidRPr="00761D24">
        <w:rPr>
          <w:rFonts w:ascii="Times New Roman" w:hAnsi="Times New Roman" w:cs="Times New Roman"/>
          <w:b/>
          <w:sz w:val="24"/>
        </w:rPr>
        <w:t>Certificate Program on Company Law</w:t>
      </w:r>
      <w:r w:rsidRPr="00761D24">
        <w:rPr>
          <w:rFonts w:ascii="Times New Roman" w:hAnsi="Times New Roman" w:cs="Times New Roman"/>
          <w:sz w:val="24"/>
        </w:rPr>
        <w:t xml:space="preserve"> was conducted by </w:t>
      </w:r>
      <w:r w:rsidR="00FB2919" w:rsidRPr="00761D24">
        <w:rPr>
          <w:rFonts w:ascii="Times New Roman" w:hAnsi="Times New Roman" w:cs="Times New Roman"/>
          <w:b/>
          <w:sz w:val="24"/>
        </w:rPr>
        <w:t>Indian Law Society.</w:t>
      </w:r>
      <w:r w:rsidR="008018CA" w:rsidRPr="00761D24">
        <w:rPr>
          <w:rFonts w:ascii="Times New Roman" w:hAnsi="Times New Roman" w:cs="Times New Roman"/>
          <w:sz w:val="24"/>
        </w:rPr>
        <w:t xml:space="preserve"> Covering a boutique selection of topics and issues in the field of co</w:t>
      </w:r>
      <w:r w:rsidR="00FB2919" w:rsidRPr="00761D24">
        <w:rPr>
          <w:rFonts w:ascii="Times New Roman" w:hAnsi="Times New Roman" w:cs="Times New Roman"/>
          <w:sz w:val="24"/>
        </w:rPr>
        <w:t>mpany</w:t>
      </w:r>
      <w:r w:rsidR="008018CA" w:rsidRPr="00761D24">
        <w:rPr>
          <w:rFonts w:ascii="Times New Roman" w:hAnsi="Times New Roman" w:cs="Times New Roman"/>
          <w:sz w:val="24"/>
        </w:rPr>
        <w:t xml:space="preserve"> law spaced across three days commencing on the 20</w:t>
      </w:r>
      <w:r w:rsidR="00B83AA5" w:rsidRPr="00761D24">
        <w:rPr>
          <w:rFonts w:ascii="Times New Roman" w:hAnsi="Times New Roman" w:cs="Times New Roman"/>
          <w:sz w:val="24"/>
          <w:vertAlign w:val="superscript"/>
        </w:rPr>
        <w:t>th</w:t>
      </w:r>
      <w:r w:rsidR="008018CA" w:rsidRPr="00761D24">
        <w:rPr>
          <w:rFonts w:ascii="Times New Roman" w:hAnsi="Times New Roman" w:cs="Times New Roman"/>
          <w:sz w:val="24"/>
        </w:rPr>
        <w:t xml:space="preserve"> February and concluding on the 22</w:t>
      </w:r>
      <w:r w:rsidR="00B83AA5" w:rsidRPr="00761D24">
        <w:rPr>
          <w:rFonts w:ascii="Times New Roman" w:hAnsi="Times New Roman" w:cs="Times New Roman"/>
          <w:sz w:val="24"/>
          <w:vertAlign w:val="superscript"/>
        </w:rPr>
        <w:t>nd</w:t>
      </w:r>
      <w:r w:rsidR="00B83AA5" w:rsidRPr="00761D24">
        <w:rPr>
          <w:rFonts w:ascii="Times New Roman" w:hAnsi="Times New Roman" w:cs="Times New Roman"/>
          <w:sz w:val="24"/>
        </w:rPr>
        <w:t xml:space="preserve"> </w:t>
      </w:r>
      <w:r w:rsidR="008018CA" w:rsidRPr="00761D24">
        <w:rPr>
          <w:rFonts w:ascii="Times New Roman" w:hAnsi="Times New Roman" w:cs="Times New Roman"/>
          <w:sz w:val="24"/>
        </w:rPr>
        <w:t xml:space="preserve">February. It was conducted by internationally renowned corporate lawyer, </w:t>
      </w:r>
      <w:r w:rsidR="008018CA" w:rsidRPr="00761D24">
        <w:rPr>
          <w:rFonts w:ascii="Times New Roman" w:hAnsi="Times New Roman" w:cs="Times New Roman"/>
          <w:b/>
          <w:sz w:val="24"/>
        </w:rPr>
        <w:t>Mr. Edward Walker-Arnot</w:t>
      </w:r>
      <w:r w:rsidR="00B83AA5" w:rsidRPr="00761D24">
        <w:rPr>
          <w:rFonts w:ascii="Times New Roman" w:hAnsi="Times New Roman" w:cs="Times New Roman"/>
          <w:b/>
          <w:sz w:val="24"/>
        </w:rPr>
        <w:t xml:space="preserve">t, </w:t>
      </w:r>
      <w:r w:rsidR="006B7C94" w:rsidRPr="00761D24">
        <w:rPr>
          <w:rFonts w:ascii="Times New Roman" w:hAnsi="Times New Roman" w:cs="Times New Roman"/>
          <w:b/>
          <w:sz w:val="24"/>
        </w:rPr>
        <w:t>C</w:t>
      </w:r>
      <w:r w:rsidR="00B83AA5" w:rsidRPr="00761D24">
        <w:rPr>
          <w:rFonts w:ascii="Times New Roman" w:hAnsi="Times New Roman" w:cs="Times New Roman"/>
          <w:b/>
          <w:sz w:val="24"/>
        </w:rPr>
        <w:t>onsultant, Herbert Smith Freehills, U.K.</w:t>
      </w:r>
    </w:p>
    <w:p w:rsidR="008018CA" w:rsidRPr="00761D24" w:rsidRDefault="008018CA">
      <w:pPr>
        <w:rPr>
          <w:rFonts w:ascii="Times New Roman" w:hAnsi="Times New Roman" w:cs="Times New Roman"/>
          <w:b/>
          <w:sz w:val="24"/>
        </w:rPr>
      </w:pPr>
      <w:r w:rsidRPr="00761D24">
        <w:rPr>
          <w:rFonts w:ascii="Times New Roman" w:hAnsi="Times New Roman" w:cs="Times New Roman"/>
          <w:b/>
          <w:sz w:val="24"/>
        </w:rPr>
        <w:t>Proceedings</w:t>
      </w:r>
    </w:p>
    <w:p w:rsidR="008018CA" w:rsidRPr="00761D24" w:rsidRDefault="008018CA">
      <w:pPr>
        <w:rPr>
          <w:rFonts w:ascii="Times New Roman" w:hAnsi="Times New Roman" w:cs="Times New Roman"/>
          <w:sz w:val="24"/>
        </w:rPr>
      </w:pPr>
      <w:r w:rsidRPr="00761D24">
        <w:rPr>
          <w:rFonts w:ascii="Times New Roman" w:hAnsi="Times New Roman" w:cs="Times New Roman"/>
          <w:sz w:val="24"/>
        </w:rPr>
        <w:t>The Course was spaced across three days, description of which is listed below</w:t>
      </w:r>
      <w:r w:rsidR="006B7C94" w:rsidRPr="00761D24">
        <w:rPr>
          <w:rFonts w:ascii="Times New Roman" w:hAnsi="Times New Roman" w:cs="Times New Roman"/>
          <w:sz w:val="24"/>
        </w:rPr>
        <w:t>:</w:t>
      </w:r>
    </w:p>
    <w:p w:rsidR="008018CA" w:rsidRPr="00761D24" w:rsidRDefault="008018CA">
      <w:pPr>
        <w:rPr>
          <w:rFonts w:ascii="Times New Roman" w:hAnsi="Times New Roman" w:cs="Times New Roman"/>
          <w:b/>
          <w:sz w:val="24"/>
        </w:rPr>
      </w:pPr>
      <w:r w:rsidRPr="00761D24">
        <w:rPr>
          <w:rFonts w:ascii="Times New Roman" w:hAnsi="Times New Roman" w:cs="Times New Roman"/>
          <w:b/>
          <w:sz w:val="24"/>
          <w:u w:val="single"/>
        </w:rPr>
        <w:t xml:space="preserve">Day 1- </w:t>
      </w:r>
      <w:r w:rsidRPr="00761D24">
        <w:rPr>
          <w:rFonts w:ascii="Times New Roman" w:hAnsi="Times New Roman" w:cs="Times New Roman"/>
          <w:b/>
          <w:sz w:val="24"/>
        </w:rPr>
        <w:t>The Independent Non-Executive Directors</w:t>
      </w:r>
    </w:p>
    <w:p w:rsidR="008018CA" w:rsidRPr="00761D24" w:rsidRDefault="008018CA">
      <w:pPr>
        <w:rPr>
          <w:rFonts w:ascii="Times New Roman" w:hAnsi="Times New Roman" w:cs="Times New Roman"/>
          <w:b/>
          <w:sz w:val="24"/>
        </w:rPr>
      </w:pPr>
      <w:r w:rsidRPr="00761D24">
        <w:rPr>
          <w:rFonts w:ascii="Times New Roman" w:hAnsi="Times New Roman" w:cs="Times New Roman"/>
          <w:b/>
          <w:sz w:val="24"/>
          <w:u w:val="single"/>
        </w:rPr>
        <w:t xml:space="preserve">Day 2- </w:t>
      </w:r>
      <w:r w:rsidRPr="00761D24">
        <w:rPr>
          <w:rFonts w:ascii="Times New Roman" w:hAnsi="Times New Roman" w:cs="Times New Roman"/>
          <w:b/>
          <w:sz w:val="24"/>
        </w:rPr>
        <w:t>Control of Companies</w:t>
      </w:r>
    </w:p>
    <w:p w:rsidR="008018CA" w:rsidRPr="00761D24" w:rsidRDefault="008018CA">
      <w:pPr>
        <w:rPr>
          <w:rFonts w:ascii="Times New Roman" w:hAnsi="Times New Roman" w:cs="Times New Roman"/>
          <w:b/>
          <w:sz w:val="24"/>
          <w:u w:val="single"/>
        </w:rPr>
      </w:pPr>
      <w:r w:rsidRPr="00761D24">
        <w:rPr>
          <w:rFonts w:ascii="Times New Roman" w:hAnsi="Times New Roman" w:cs="Times New Roman"/>
          <w:b/>
          <w:sz w:val="24"/>
          <w:u w:val="single"/>
        </w:rPr>
        <w:t xml:space="preserve">Day 3- </w:t>
      </w:r>
      <w:r w:rsidRPr="00761D24">
        <w:rPr>
          <w:rFonts w:ascii="Times New Roman" w:hAnsi="Times New Roman" w:cs="Times New Roman"/>
          <w:b/>
          <w:sz w:val="24"/>
        </w:rPr>
        <w:t>Mergers &amp; Acquisition</w:t>
      </w:r>
    </w:p>
    <w:p w:rsidR="00454526" w:rsidRPr="00761D24" w:rsidRDefault="00454526">
      <w:pPr>
        <w:rPr>
          <w:rFonts w:ascii="Times New Roman" w:hAnsi="Times New Roman" w:cs="Times New Roman"/>
          <w:sz w:val="24"/>
        </w:rPr>
      </w:pPr>
      <w:r w:rsidRPr="00761D24">
        <w:rPr>
          <w:rFonts w:ascii="Times New Roman" w:hAnsi="Times New Roman" w:cs="Times New Roman"/>
          <w:sz w:val="24"/>
        </w:rPr>
        <w:t>The mix of professional and academic orientation of the Guest speaker lead this course on a balanced footing ranging from the understanding of the jurisprudence behind the law to the ground practicality of its execution and implementation. This wide approach to the subject matter provided the students a broader understanding of things beyond the realm of letters and texts. Crucial also was the comparative analysis between the Indian and British company law scheme, and their nuance divergence on multiple aspects.</w:t>
      </w:r>
    </w:p>
    <w:p w:rsidR="00454526" w:rsidRPr="00761D24" w:rsidRDefault="00454526">
      <w:pPr>
        <w:rPr>
          <w:rFonts w:ascii="Times New Roman" w:hAnsi="Times New Roman" w:cs="Times New Roman"/>
          <w:sz w:val="24"/>
        </w:rPr>
      </w:pPr>
      <w:r w:rsidRPr="00761D24">
        <w:rPr>
          <w:rFonts w:ascii="Times New Roman" w:hAnsi="Times New Roman" w:cs="Times New Roman"/>
          <w:sz w:val="24"/>
        </w:rPr>
        <w:t>The delivery of the program concluded on the 22</w:t>
      </w:r>
      <w:r w:rsidRPr="00761D24">
        <w:rPr>
          <w:rFonts w:ascii="Times New Roman" w:hAnsi="Times New Roman" w:cs="Times New Roman"/>
          <w:sz w:val="24"/>
          <w:vertAlign w:val="superscript"/>
        </w:rPr>
        <w:t>nd</w:t>
      </w:r>
      <w:r w:rsidRPr="00761D24">
        <w:rPr>
          <w:rFonts w:ascii="Times New Roman" w:hAnsi="Times New Roman" w:cs="Times New Roman"/>
          <w:sz w:val="24"/>
        </w:rPr>
        <w:t xml:space="preserve"> February, however as planned a short assessment test was conducted in a MCQ format, on a subsequent date</w:t>
      </w:r>
      <w:r w:rsidR="00737BBB" w:rsidRPr="00761D24">
        <w:rPr>
          <w:rFonts w:ascii="Times New Roman" w:hAnsi="Times New Roman" w:cs="Times New Roman"/>
          <w:sz w:val="24"/>
        </w:rPr>
        <w:t xml:space="preserve"> which concluded the course in its finality. </w:t>
      </w:r>
    </w:p>
    <w:p w:rsidR="008018CA" w:rsidRPr="00761D24" w:rsidRDefault="00454526">
      <w:pPr>
        <w:rPr>
          <w:rFonts w:ascii="Times New Roman" w:hAnsi="Times New Roman" w:cs="Times New Roman"/>
          <w:sz w:val="24"/>
        </w:rPr>
      </w:pPr>
      <w:r w:rsidRPr="00761D24">
        <w:rPr>
          <w:rFonts w:ascii="Times New Roman" w:hAnsi="Times New Roman" w:cs="Times New Roman"/>
          <w:sz w:val="24"/>
        </w:rPr>
        <w:t xml:space="preserve">Over </w:t>
      </w:r>
      <w:r w:rsidR="00737BBB" w:rsidRPr="00761D24">
        <w:rPr>
          <w:rFonts w:ascii="Times New Roman" w:hAnsi="Times New Roman" w:cs="Times New Roman"/>
          <w:sz w:val="24"/>
        </w:rPr>
        <w:t>this entire</w:t>
      </w:r>
      <w:r w:rsidRPr="00761D24">
        <w:rPr>
          <w:rFonts w:ascii="Times New Roman" w:hAnsi="Times New Roman" w:cs="Times New Roman"/>
          <w:sz w:val="24"/>
        </w:rPr>
        <w:t xml:space="preserve"> program conducted at the initiative of Prof. Smita Sabne was an enriching experience for the Students.  </w:t>
      </w:r>
    </w:p>
    <w:p w:rsidR="00E379C7" w:rsidRPr="00761D24" w:rsidRDefault="00E379C7" w:rsidP="00E379C7">
      <w:pP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Based on MCQ exam following is the result.</w:t>
      </w:r>
    </w:p>
    <w:tbl>
      <w:tblPr>
        <w:tblStyle w:val="TableGrid"/>
        <w:tblpPr w:leftFromText="180" w:rightFromText="180" w:vertAnchor="text" w:horzAnchor="margin" w:tblpY="279"/>
        <w:tblW w:w="9895" w:type="dxa"/>
        <w:tblLook w:val="04A0" w:firstRow="1" w:lastRow="0" w:firstColumn="1" w:lastColumn="0" w:noHBand="0" w:noVBand="1"/>
      </w:tblPr>
      <w:tblGrid>
        <w:gridCol w:w="1789"/>
        <w:gridCol w:w="1118"/>
        <w:gridCol w:w="1073"/>
        <w:gridCol w:w="965"/>
        <w:gridCol w:w="900"/>
        <w:gridCol w:w="990"/>
        <w:gridCol w:w="900"/>
        <w:gridCol w:w="2160"/>
      </w:tblGrid>
      <w:tr w:rsidR="00517F96" w:rsidRPr="00761D24" w:rsidTr="00517F96">
        <w:trPr>
          <w:trHeight w:val="538"/>
        </w:trPr>
        <w:tc>
          <w:tcPr>
            <w:tcW w:w="1789"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No of students Appeared</w:t>
            </w:r>
          </w:p>
        </w:tc>
        <w:tc>
          <w:tcPr>
            <w:tcW w:w="1118"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A+</w:t>
            </w:r>
          </w:p>
        </w:tc>
        <w:tc>
          <w:tcPr>
            <w:tcW w:w="1073"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 xml:space="preserve"> </w:t>
            </w: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A</w:t>
            </w:r>
          </w:p>
        </w:tc>
        <w:tc>
          <w:tcPr>
            <w:tcW w:w="965"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B+</w:t>
            </w:r>
          </w:p>
        </w:tc>
        <w:tc>
          <w:tcPr>
            <w:tcW w:w="900"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B</w:t>
            </w:r>
          </w:p>
        </w:tc>
        <w:tc>
          <w:tcPr>
            <w:tcW w:w="990"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C</w:t>
            </w:r>
          </w:p>
        </w:tc>
        <w:tc>
          <w:tcPr>
            <w:tcW w:w="900" w:type="dxa"/>
          </w:tcPr>
          <w:p w:rsidR="00517F96" w:rsidRPr="00761D24" w:rsidRDefault="00517F96" w:rsidP="00D01700">
            <w:pPr>
              <w:ind w:left="0"/>
              <w:jc w:val="center"/>
              <w:rPr>
                <w:rFonts w:ascii="Times New Roman" w:hAnsi="Times New Roman" w:cs="Times New Roman"/>
                <w:b/>
                <w:color w:val="222222"/>
                <w:sz w:val="24"/>
                <w:szCs w:val="24"/>
                <w:shd w:val="clear" w:color="auto" w:fill="FFFFFF"/>
              </w:rPr>
            </w:pPr>
          </w:p>
          <w:p w:rsidR="00517F96" w:rsidRPr="00761D24" w:rsidRDefault="00517F96" w:rsidP="00D01700">
            <w:pPr>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F</w:t>
            </w:r>
          </w:p>
        </w:tc>
        <w:tc>
          <w:tcPr>
            <w:tcW w:w="2160" w:type="dxa"/>
          </w:tcPr>
          <w:p w:rsidR="00517F96" w:rsidRPr="00761D24" w:rsidRDefault="00517F96" w:rsidP="00D01700">
            <w:pPr>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Incomplete</w:t>
            </w:r>
          </w:p>
        </w:tc>
      </w:tr>
      <w:tr w:rsidR="00517F96" w:rsidRPr="00761D24" w:rsidTr="00517F96">
        <w:trPr>
          <w:trHeight w:val="611"/>
        </w:trPr>
        <w:tc>
          <w:tcPr>
            <w:tcW w:w="1789" w:type="dxa"/>
            <w:vAlign w:val="center"/>
          </w:tcPr>
          <w:p w:rsidR="00517F96" w:rsidRPr="00761D24" w:rsidRDefault="00517F96" w:rsidP="00D01700">
            <w:pPr>
              <w:tabs>
                <w:tab w:val="left" w:pos="690"/>
                <w:tab w:val="center" w:pos="859"/>
              </w:tabs>
              <w:ind w:left="0"/>
              <w:jc w:val="center"/>
              <w:rPr>
                <w:rFonts w:ascii="Times New Roman" w:hAnsi="Times New Roman" w:cs="Times New Roman"/>
                <w:b/>
                <w:color w:val="222222"/>
                <w:sz w:val="24"/>
                <w:szCs w:val="24"/>
                <w:shd w:val="clear" w:color="auto" w:fill="FFFFFF"/>
              </w:rPr>
            </w:pPr>
          </w:p>
          <w:p w:rsidR="00517F96" w:rsidRPr="00761D24" w:rsidRDefault="00517F96" w:rsidP="00D01700">
            <w:pPr>
              <w:tabs>
                <w:tab w:val="left" w:pos="690"/>
                <w:tab w:val="center" w:pos="859"/>
              </w:tabs>
              <w:ind w:left="0"/>
              <w:jc w:val="center"/>
              <w:rPr>
                <w:rFonts w:ascii="Times New Roman" w:hAnsi="Times New Roman" w:cs="Times New Roman"/>
                <w:b/>
                <w:color w:val="222222"/>
                <w:sz w:val="24"/>
                <w:szCs w:val="24"/>
                <w:shd w:val="clear" w:color="auto" w:fill="FFFFFF"/>
              </w:rPr>
            </w:pPr>
            <w:r w:rsidRPr="00761D24">
              <w:rPr>
                <w:rFonts w:ascii="Times New Roman" w:hAnsi="Times New Roman" w:cs="Times New Roman"/>
                <w:b/>
                <w:color w:val="222222"/>
                <w:sz w:val="24"/>
                <w:szCs w:val="24"/>
                <w:shd w:val="clear" w:color="auto" w:fill="FFFFFF"/>
              </w:rPr>
              <w:t>33</w:t>
            </w:r>
          </w:p>
        </w:tc>
        <w:tc>
          <w:tcPr>
            <w:tcW w:w="1118"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02</w:t>
            </w:r>
          </w:p>
        </w:tc>
        <w:tc>
          <w:tcPr>
            <w:tcW w:w="1073"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05</w:t>
            </w:r>
          </w:p>
        </w:tc>
        <w:tc>
          <w:tcPr>
            <w:tcW w:w="965"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11</w:t>
            </w:r>
          </w:p>
        </w:tc>
        <w:tc>
          <w:tcPr>
            <w:tcW w:w="900"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4</w:t>
            </w:r>
          </w:p>
        </w:tc>
        <w:tc>
          <w:tcPr>
            <w:tcW w:w="990"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9</w:t>
            </w:r>
          </w:p>
        </w:tc>
        <w:tc>
          <w:tcPr>
            <w:tcW w:w="900" w:type="dxa"/>
            <w:vAlign w:val="center"/>
          </w:tcPr>
          <w:p w:rsidR="00517F96" w:rsidRPr="00761D24" w:rsidRDefault="00517F96" w:rsidP="00D01700">
            <w:pPr>
              <w:ind w:left="0"/>
              <w:jc w:val="center"/>
              <w:rPr>
                <w:rFonts w:ascii="Times New Roman" w:hAnsi="Times New Roman" w:cs="Times New Roman"/>
                <w:color w:val="222222"/>
                <w:sz w:val="24"/>
                <w:szCs w:val="24"/>
                <w:shd w:val="clear" w:color="auto" w:fill="FFFFFF"/>
              </w:rPr>
            </w:pPr>
          </w:p>
          <w:p w:rsidR="00517F96" w:rsidRPr="00761D24" w:rsidRDefault="00517F96" w:rsidP="00D01700">
            <w:pPr>
              <w:ind w:left="0"/>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2</w:t>
            </w:r>
          </w:p>
        </w:tc>
        <w:tc>
          <w:tcPr>
            <w:tcW w:w="2160" w:type="dxa"/>
          </w:tcPr>
          <w:p w:rsidR="00517F96" w:rsidRPr="00761D24" w:rsidRDefault="00517F96" w:rsidP="00D01700">
            <w:pPr>
              <w:jc w:val="center"/>
              <w:rPr>
                <w:rFonts w:ascii="Times New Roman" w:hAnsi="Times New Roman" w:cs="Times New Roman"/>
                <w:color w:val="222222"/>
                <w:sz w:val="24"/>
                <w:szCs w:val="24"/>
                <w:shd w:val="clear" w:color="auto" w:fill="FFFFFF"/>
              </w:rPr>
            </w:pPr>
          </w:p>
          <w:p w:rsidR="00517F96" w:rsidRPr="00761D24" w:rsidRDefault="00517F96" w:rsidP="00D01700">
            <w:pPr>
              <w:jc w:val="center"/>
              <w:rPr>
                <w:rFonts w:ascii="Times New Roman" w:hAnsi="Times New Roman" w:cs="Times New Roman"/>
                <w:color w:val="222222"/>
                <w:sz w:val="24"/>
                <w:szCs w:val="24"/>
                <w:shd w:val="clear" w:color="auto" w:fill="FFFFFF"/>
              </w:rPr>
            </w:pPr>
            <w:r w:rsidRPr="00761D24">
              <w:rPr>
                <w:rFonts w:ascii="Times New Roman" w:hAnsi="Times New Roman" w:cs="Times New Roman"/>
                <w:color w:val="222222"/>
                <w:sz w:val="24"/>
                <w:szCs w:val="24"/>
                <w:shd w:val="clear" w:color="auto" w:fill="FFFFFF"/>
              </w:rPr>
              <w:t>00</w:t>
            </w:r>
          </w:p>
        </w:tc>
      </w:tr>
    </w:tbl>
    <w:p w:rsidR="00E379C7" w:rsidRPr="001D2A57" w:rsidRDefault="00E379C7">
      <w:pPr>
        <w:rPr>
          <w:rFonts w:ascii="Times New Roman" w:hAnsi="Times New Roman" w:cs="Times New Roman"/>
          <w:sz w:val="24"/>
        </w:rPr>
      </w:pPr>
    </w:p>
    <w:sectPr w:rsidR="00E379C7" w:rsidRPr="001D2A57" w:rsidSect="003B45D3">
      <w:pgSz w:w="12240" w:h="15840"/>
      <w:pgMar w:top="1440" w:right="1440" w:bottom="1440" w:left="1440" w:header="720" w:footer="720" w:gutter="0"/>
      <w:pgBorders w:offsetFrom="page">
        <w:top w:val="thickThinSmallGap" w:sz="18" w:space="24" w:color="auto"/>
        <w:left w:val="thickThin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DD"/>
    <w:rsid w:val="001D2A57"/>
    <w:rsid w:val="002E6C11"/>
    <w:rsid w:val="003006F7"/>
    <w:rsid w:val="0038132B"/>
    <w:rsid w:val="00396B79"/>
    <w:rsid w:val="003B45D3"/>
    <w:rsid w:val="00454526"/>
    <w:rsid w:val="00517F96"/>
    <w:rsid w:val="00535E44"/>
    <w:rsid w:val="0054773A"/>
    <w:rsid w:val="006649C2"/>
    <w:rsid w:val="006B7C94"/>
    <w:rsid w:val="006C451A"/>
    <w:rsid w:val="00737BBB"/>
    <w:rsid w:val="00761D24"/>
    <w:rsid w:val="007A10F1"/>
    <w:rsid w:val="007F7622"/>
    <w:rsid w:val="008018CA"/>
    <w:rsid w:val="00964138"/>
    <w:rsid w:val="009E65E9"/>
    <w:rsid w:val="00AC184E"/>
    <w:rsid w:val="00B65B72"/>
    <w:rsid w:val="00B83AA5"/>
    <w:rsid w:val="00BD6E10"/>
    <w:rsid w:val="00D01700"/>
    <w:rsid w:val="00E379C7"/>
    <w:rsid w:val="00FB2919"/>
    <w:rsid w:val="00FB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C59D9-5E2B-4C05-BEFA-7036166A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9C7"/>
    <w:pPr>
      <w:spacing w:after="0" w:line="240" w:lineRule="auto"/>
      <w:ind w:left="-706"/>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DeepaliM</cp:lastModifiedBy>
  <cp:revision>10</cp:revision>
  <dcterms:created xsi:type="dcterms:W3CDTF">2018-11-19T09:41:00Z</dcterms:created>
  <dcterms:modified xsi:type="dcterms:W3CDTF">2018-11-19T11:19:00Z</dcterms:modified>
</cp:coreProperties>
</file>